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5E33B81B" w:rsidP="3459D655" w:rsidRDefault="5E33B81B" w14:paraId="25B8633C" w14:textId="36685FB9">
      <w:pPr>
        <w:pStyle w:val="Heading1"/>
        <w:spacing w:before="322" w:beforeAutospacing="off" w:after="322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04C0EE27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ZAŁĄCZNIK NR 4</w:t>
      </w:r>
    </w:p>
    <w:p w:rsidR="5E33B81B" w:rsidP="3459D655" w:rsidRDefault="5E33B81B" w14:paraId="49361E26" w14:textId="4FAD3563">
      <w:pPr>
        <w:pStyle w:val="Normal"/>
        <w:jc w:val="center"/>
        <w:rPr>
          <w:rFonts w:ascii="Calibri" w:hAnsi="Calibri" w:eastAsia="Calibri" w:cs="Calibri"/>
          <w:noProof w:val="0"/>
          <w:sz w:val="28"/>
          <w:szCs w:val="28"/>
          <w:lang w:val="pl-PL"/>
        </w:rPr>
      </w:pPr>
      <w:r w:rsidRPr="79971A2C" w:rsidR="5E33B81B">
        <w:rPr>
          <w:rFonts w:ascii="Calibri" w:hAnsi="Calibri" w:eastAsia="Calibri" w:cs="Calibri"/>
          <w:noProof w:val="0"/>
          <w:sz w:val="28"/>
          <w:szCs w:val="28"/>
          <w:lang w:val="pl-PL"/>
        </w:rPr>
        <w:t>PODRĘCZNIK KWALIFIKOWANIA KOSZTÓW PROJEKTU</w:t>
      </w:r>
    </w:p>
    <w:p w:rsidR="39B5734C" w:rsidP="79971A2C" w:rsidRDefault="39B5734C" w14:paraId="28FA93A0" w14:textId="165C0827">
      <w:pPr>
        <w:spacing w:before="1" w:beforeAutospacing="off" w:after="0" w:afterAutospacing="off" w:line="259" w:lineRule="auto"/>
        <w:ind w:left="0" w:right="87" w:hanging="2"/>
        <w:jc w:val="center"/>
        <w:rPr>
          <w:rFonts w:ascii="Calibri" w:hAnsi="Calibri" w:eastAsia="Calibri" w:cs="Calibri"/>
          <w:noProof w:val="0"/>
          <w:sz w:val="28"/>
          <w:szCs w:val="28"/>
          <w:lang w:val="pl-PL"/>
        </w:rPr>
      </w:pPr>
      <w:r w:rsidRPr="79971A2C" w:rsidR="39B5734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l"/>
        </w:rPr>
        <w:t>„Włączmy się!”</w:t>
      </w:r>
    </w:p>
    <w:p w:rsidR="79971A2C" w:rsidP="79971A2C" w:rsidRDefault="79971A2C" w14:paraId="2FB3CECB" w14:textId="3194925C">
      <w:pPr>
        <w:pStyle w:val="Normal"/>
        <w:jc w:val="center"/>
        <w:rPr>
          <w:rFonts w:ascii="Calibri" w:hAnsi="Calibri" w:eastAsia="Calibri" w:cs="Calibri"/>
          <w:noProof w:val="0"/>
          <w:sz w:val="28"/>
          <w:szCs w:val="28"/>
          <w:lang w:val="pl-PL"/>
        </w:rPr>
      </w:pPr>
    </w:p>
    <w:p w:rsidR="5E33B81B" w:rsidP="3459D655" w:rsidRDefault="5E33B81B" w14:paraId="4990DAFD" w14:textId="79747F30">
      <w:pPr>
        <w:pStyle w:val="Heading2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sz w:val="28"/>
          <w:szCs w:val="28"/>
          <w:lang w:val="pl-PL"/>
        </w:rPr>
        <w:t>1. Cel i zakres podręcznika</w:t>
      </w:r>
    </w:p>
    <w:p w:rsidR="5E33B81B" w:rsidP="3459D655" w:rsidRDefault="5E33B81B" w14:paraId="15B59F26" w14:textId="1513F907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Niniejszy Podręcznik określa zasady kwalifikowania, planowania, ponoszenia i rozliczania wydatków w projektach realizowanych przez </w:t>
      </w:r>
      <w:r w:rsidRPr="3459D655" w:rsidR="3569B0F2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rantobiorców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na rzecz </w:t>
      </w:r>
      <w:r w:rsidRPr="3459D655" w:rsidR="7BC56AB5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Fundacji Szansa - Jesteśmy Razem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, która pełni rolę Operatora projektu</w:t>
      </w:r>
      <w:r w:rsidRPr="3459D655" w:rsidR="75AA3022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</w:t>
      </w:r>
      <w:r w:rsidRPr="3459D655" w:rsidR="75AA3022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regrantingowego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finansowanego ze środków PFRON.</w:t>
      </w:r>
    </w:p>
    <w:p w:rsidR="5E33B81B" w:rsidP="3459D655" w:rsidRDefault="5E33B81B" w14:paraId="785D5B39" w14:textId="5B70B11E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Podręcznik został opracowany na podstawie:</w:t>
      </w:r>
    </w:p>
    <w:p w:rsidR="5E33B81B" w:rsidP="3459D655" w:rsidRDefault="5E33B81B" w14:paraId="3BE9C82C" w14:textId="5EE7A594">
      <w:pPr>
        <w:pStyle w:val="ListParagraph"/>
        <w:numPr>
          <w:ilvl w:val="0"/>
          <w:numId w:val="12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Umowy zawartej pomiędzy Operatorem a PFRON;</w:t>
      </w:r>
    </w:p>
    <w:p w:rsidR="5E33B81B" w:rsidP="3459D655" w:rsidRDefault="5E33B81B" w14:paraId="5DDD4192" w14:textId="4FFDA2DF">
      <w:pPr>
        <w:pStyle w:val="ListParagraph"/>
        <w:numPr>
          <w:ilvl w:val="0"/>
          <w:numId w:val="12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79971A2C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Wytycznych PFRON dotyczących kwalifikowalności wydatków (konkurs „Moc lokalnych inicjatyw – edycja 2025”);</w:t>
      </w:r>
    </w:p>
    <w:p w:rsidR="5E33B81B" w:rsidP="3459D655" w:rsidRDefault="5E33B81B" w14:paraId="68D1C0BA" w14:textId="1960B6BA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Dokument ma charakter nadrzędny wobec wewnętrznych zasad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Grantobiorców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.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Grantobiorcy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są zobowiązani do stosowania niniejszego Podręcznika w całości, przy czym jego zapisy nie mogą być interpretowane w sposób sprzeczny z przepisami prawa ani dokumentami PFRON.</w:t>
      </w:r>
    </w:p>
    <w:p w:rsidR="5E33B81B" w:rsidP="3459D655" w:rsidRDefault="5E33B81B" w14:paraId="6632D0FF" w14:textId="6E73687D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Hierarchia dokumentów:</w:t>
      </w:r>
    </w:p>
    <w:p w:rsidR="5E33B81B" w:rsidP="3459D655" w:rsidRDefault="5E33B81B" w14:paraId="2BF0C776" w14:textId="5039BEC4">
      <w:pPr>
        <w:pStyle w:val="ListParagraph"/>
        <w:numPr>
          <w:ilvl w:val="0"/>
          <w:numId w:val="13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przepisy prawa powszechnie obowiązującego;</w:t>
      </w:r>
    </w:p>
    <w:p w:rsidR="5E33B81B" w:rsidP="3459D655" w:rsidRDefault="5E33B81B" w14:paraId="27CBBD8A" w14:textId="7E3F0B3B">
      <w:pPr>
        <w:pStyle w:val="ListParagraph"/>
        <w:numPr>
          <w:ilvl w:val="0"/>
          <w:numId w:val="13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umowa Operatora z PFRON oraz wytyczne PFRON;</w:t>
      </w:r>
    </w:p>
    <w:p w:rsidR="5E33B81B" w:rsidP="3459D655" w:rsidRDefault="5E33B81B" w14:paraId="42A42035" w14:textId="29C54671">
      <w:pPr>
        <w:pStyle w:val="ListParagraph"/>
        <w:numPr>
          <w:ilvl w:val="0"/>
          <w:numId w:val="13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umowa gr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ant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owa Operatora z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Grantobiorcą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;</w:t>
      </w:r>
    </w:p>
    <w:p w:rsidR="5E33B81B" w:rsidP="3459D655" w:rsidRDefault="5E33B81B" w14:paraId="28002606" w14:textId="4935C754">
      <w:pPr>
        <w:pStyle w:val="ListParagraph"/>
        <w:numPr>
          <w:ilvl w:val="0"/>
          <w:numId w:val="13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niniejszy Podręcznik.</w:t>
      </w:r>
    </w:p>
    <w:p w:rsidR="5E33B81B" w:rsidP="3459D655" w:rsidRDefault="5E33B81B" w14:paraId="05190B3B" w14:textId="64B32AAB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2. Zakres rzeczowy projektów</w:t>
      </w:r>
    </w:p>
    <w:p w:rsidR="5E33B81B" w:rsidP="3459D655" w:rsidRDefault="5E33B81B" w14:paraId="6A76879F" w14:textId="369BE65F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 może zostać przeznaczony w szczególności na:</w:t>
      </w:r>
    </w:p>
    <w:p w:rsidR="5E33B81B" w:rsidP="3459D655" w:rsidRDefault="5E33B81B" w14:paraId="1C80283F" w14:textId="36515016">
      <w:pPr>
        <w:pStyle w:val="ListParagraph"/>
        <w:numPr>
          <w:ilvl w:val="0"/>
          <w:numId w:val="14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wsparcie psychologiczne i poradnicze dla osób z niepełnosprawnościami;</w:t>
      </w:r>
    </w:p>
    <w:p w:rsidR="5E33B81B" w:rsidP="3459D655" w:rsidRDefault="5E33B81B" w14:paraId="0CB09631" w14:textId="48709048">
      <w:pPr>
        <w:pStyle w:val="ListParagraph"/>
        <w:numPr>
          <w:ilvl w:val="0"/>
          <w:numId w:val="14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organizację spotkań, imprez i wydarzeń dla osób z niepełnosprawnościami i ich otoczenia, z zapewnieniem dostępności;</w:t>
      </w:r>
    </w:p>
    <w:p w:rsidR="5E33B81B" w:rsidP="3459D655" w:rsidRDefault="5E33B81B" w14:paraId="2C50DE23" w14:textId="26C607FB">
      <w:pPr>
        <w:pStyle w:val="ListParagraph"/>
        <w:numPr>
          <w:ilvl w:val="0"/>
          <w:numId w:val="14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organizację szkoleń, kursów, warsztatów, grup wsparcia i zespołów aktywności społecznej;</w:t>
      </w:r>
    </w:p>
    <w:p w:rsidR="5E33B81B" w:rsidP="3459D655" w:rsidRDefault="5E33B81B" w14:paraId="26D0B0C0" w14:textId="2227DFAD">
      <w:pPr>
        <w:pStyle w:val="ListParagraph"/>
        <w:numPr>
          <w:ilvl w:val="0"/>
          <w:numId w:val="14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79971A2C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szkolenia, kursy i warsztaty dla wolontariuszy działających na rzecz osób z niepełnosprawnościami.</w:t>
      </w:r>
    </w:p>
    <w:p w:rsidR="5E33B81B" w:rsidP="3459D655" w:rsidRDefault="5E33B81B" w14:paraId="20BBCE07" w14:textId="5713546A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3. Definicja kosztów kwalifikowalnych</w:t>
      </w:r>
    </w:p>
    <w:p w:rsidR="5E33B81B" w:rsidP="3459D655" w:rsidRDefault="5E33B81B" w14:paraId="243B70B2" w14:textId="4CC06BCD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Za koszty kwalifikowalne uznaje się wyłącznie wydatki, które łącznie:</w:t>
      </w:r>
    </w:p>
    <w:p w:rsidR="5E33B81B" w:rsidP="3459D655" w:rsidRDefault="5E33B81B" w14:paraId="65607C0F" w14:textId="0B6071C6">
      <w:pPr>
        <w:pStyle w:val="ListParagraph"/>
        <w:numPr>
          <w:ilvl w:val="0"/>
          <w:numId w:val="15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są niezbędne do realizacji projektu;</w:t>
      </w:r>
    </w:p>
    <w:p w:rsidR="5E33B81B" w:rsidP="3459D655" w:rsidRDefault="5E33B81B" w14:paraId="5ECA8BBD" w14:textId="79915851">
      <w:pPr>
        <w:pStyle w:val="ListParagraph"/>
        <w:numPr>
          <w:ilvl w:val="0"/>
          <w:numId w:val="15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są racjonalne, oszczędne i efektywne;</w:t>
      </w:r>
    </w:p>
    <w:p w:rsidR="5E33B81B" w:rsidP="3459D655" w:rsidRDefault="5E33B81B" w14:paraId="5898BDFE" w14:textId="459E64AF">
      <w:pPr>
        <w:pStyle w:val="ListParagraph"/>
        <w:numPr>
          <w:ilvl w:val="0"/>
          <w:numId w:val="15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zostały ujęte w zatwierdzonym budżecie projektu;</w:t>
      </w:r>
    </w:p>
    <w:p w:rsidR="5E33B81B" w:rsidP="3459D655" w:rsidRDefault="5E33B81B" w14:paraId="1E2245F1" w14:textId="6A2AB269">
      <w:pPr>
        <w:pStyle w:val="ListParagraph"/>
        <w:numPr>
          <w:ilvl w:val="0"/>
          <w:numId w:val="15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zostały faktycznie poniesione w okresie realizacji projektu określonym w Umowie;</w:t>
      </w:r>
    </w:p>
    <w:p w:rsidR="5E33B81B" w:rsidP="3459D655" w:rsidRDefault="5E33B81B" w14:paraId="69040B4D" w14:textId="65F93E72">
      <w:pPr>
        <w:pStyle w:val="ListParagraph"/>
        <w:numPr>
          <w:ilvl w:val="0"/>
          <w:numId w:val="15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są udokumentowane dowodami księgowymi wystawionymi na Organizację;</w:t>
      </w:r>
    </w:p>
    <w:p w:rsidR="5E33B81B" w:rsidP="3459D655" w:rsidRDefault="5E33B81B" w14:paraId="2BED0266" w14:textId="03562331">
      <w:pPr>
        <w:pStyle w:val="ListParagraph"/>
        <w:numPr>
          <w:ilvl w:val="0"/>
          <w:numId w:val="15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są zgodne z obowiązującymi przepisami prawa;</w:t>
      </w:r>
    </w:p>
    <w:p w:rsidR="5E33B81B" w:rsidP="3459D655" w:rsidRDefault="5E33B81B" w14:paraId="402D9388" w14:textId="2DB14148">
      <w:pPr>
        <w:pStyle w:val="ListParagraph"/>
        <w:numPr>
          <w:ilvl w:val="0"/>
          <w:numId w:val="15"/>
        </w:num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79971A2C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nie znajdują się w katalogu kosztów niekwalifikowalnych.</w:t>
      </w:r>
    </w:p>
    <w:p w:rsidR="5E33B81B" w:rsidP="3459D655" w:rsidRDefault="5E33B81B" w14:paraId="613361FC" w14:textId="717FA481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4. Kategorie kosztów kwalifikowalnych</w:t>
      </w:r>
    </w:p>
    <w:p w:rsidR="5E33B81B" w:rsidP="3459D655" w:rsidRDefault="5E33B81B" w14:paraId="41BCD608" w14:textId="3F336B55">
      <w:pPr>
        <w:pStyle w:val="Heading3"/>
        <w:spacing w:before="281" w:beforeAutospacing="off" w:after="281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4.1. Struktura budżetu grantowego</w:t>
      </w:r>
    </w:p>
    <w:p w:rsidR="5E33B81B" w:rsidP="3459D655" w:rsidRDefault="5E33B81B" w14:paraId="2ABE0BE6" w14:textId="301507B4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79971A2C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Grantobiorca</w:t>
      </w:r>
      <w:r w:rsidRPr="79971A2C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zobowiązany jest do zachowania struktury budżetu zgodnej z wytycznymi PFRON, tj.:</w:t>
      </w:r>
    </w:p>
    <w:p w:rsidR="5E33B81B" w:rsidP="79971A2C" w:rsidRDefault="5E33B81B" w14:paraId="29264DAA" w14:textId="24081F0D">
      <w:pPr>
        <w:pStyle w:val="ListParagraph"/>
        <w:numPr>
          <w:ilvl w:val="0"/>
          <w:numId w:val="16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pl-PL"/>
        </w:rPr>
      </w:pPr>
      <w:r w:rsidRPr="79971A2C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koszty administracyjne nie mogą przekroczyć 10% wartości dofinansowania.</w:t>
      </w:r>
    </w:p>
    <w:p w:rsidR="4E5C40FF" w:rsidP="79971A2C" w:rsidRDefault="4E5C40FF" w14:paraId="11CAF8C6" w14:textId="37E71F50">
      <w:pPr>
        <w:pStyle w:val="ListParagraph"/>
        <w:numPr>
          <w:ilvl w:val="0"/>
          <w:numId w:val="1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79971A2C" w:rsidR="4E5C40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pl-PL"/>
        </w:rPr>
        <w:t xml:space="preserve">Dopuszcza się możliwość dokonywania przesunięć pomiędzy </w:t>
      </w:r>
      <w:r w:rsidRPr="79971A2C" w:rsidR="4E5C40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pl-PL"/>
        </w:rPr>
        <w:t xml:space="preserve">poszczególnymi </w:t>
      </w:r>
      <w:r w:rsidRPr="79971A2C" w:rsidR="728161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pl-PL"/>
        </w:rPr>
        <w:t xml:space="preserve"> pozycjami</w:t>
      </w:r>
      <w:r w:rsidRPr="79971A2C" w:rsidR="728161B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pl-PL"/>
        </w:rPr>
        <w:t xml:space="preserve"> kosztów w ramach zatwierdzonego budżetu do wysokości 20% wartości projektu, </w:t>
      </w:r>
      <w:r w:rsidRPr="79971A2C" w:rsidR="728161BD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>pod warunkiem, że nie powodują one</w:t>
      </w:r>
    </w:p>
    <w:p w:rsidR="728161BD" w:rsidP="79971A2C" w:rsidRDefault="728161BD" w14:paraId="0F7BE66D" w14:textId="1212CE09">
      <w:pPr>
        <w:pStyle w:val="ListParagraph"/>
        <w:numPr>
          <w:ilvl w:val="1"/>
          <w:numId w:val="1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79971A2C" w:rsidR="728161BD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 xml:space="preserve">zwiększenia całkowitej kwoty grantu; </w:t>
      </w:r>
    </w:p>
    <w:p w:rsidR="728161BD" w:rsidP="79971A2C" w:rsidRDefault="728161BD" w14:paraId="214293C4" w14:textId="67749121">
      <w:pPr>
        <w:pStyle w:val="ListParagraph"/>
        <w:numPr>
          <w:ilvl w:val="1"/>
          <w:numId w:val="1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79971A2C" w:rsidR="728161BD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>przekroczenia limitów określonych w Regulaminie (w szczególności 10% dla kosztów administracyjnych); zmiany charakteru projektu lub jego głównych celów;</w:t>
      </w:r>
    </w:p>
    <w:p w:rsidR="728161BD" w:rsidP="79971A2C" w:rsidRDefault="728161BD" w14:paraId="3C4888C0" w14:textId="2116DB5E">
      <w:pPr>
        <w:pStyle w:val="ListParagraph"/>
        <w:numPr>
          <w:ilvl w:val="1"/>
          <w:numId w:val="1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</w:pPr>
      <w:r w:rsidRPr="79971A2C" w:rsidR="728161BD">
        <w:rPr>
          <w:rFonts w:ascii="Calibri" w:hAnsi="Calibri" w:eastAsia="Calibri" w:cs="Calibri"/>
          <w:noProof w:val="0"/>
          <w:color w:val="auto"/>
          <w:sz w:val="24"/>
          <w:szCs w:val="24"/>
          <w:lang w:val="pl-PL"/>
        </w:rPr>
        <w:t>zmiany rezultatów projektu.</w:t>
      </w:r>
    </w:p>
    <w:p w:rsidR="5E33B81B" w:rsidP="3459D655" w:rsidRDefault="5E33B81B" w14:paraId="2C123306" w14:textId="0C811968">
      <w:pPr>
        <w:pStyle w:val="Heading3"/>
        <w:spacing w:before="281" w:beforeAutospacing="off" w:after="281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4.2. Koszty merytoryczne realizacji projektu</w:t>
      </w:r>
    </w:p>
    <w:p w:rsidR="5E33B81B" w:rsidP="3459D655" w:rsidRDefault="5E33B81B" w14:paraId="5250CE30" w14:textId="241FDDDD">
      <w:pPr>
        <w:pStyle w:val="Heading4"/>
        <w:spacing w:before="319" w:beforeAutospacing="off" w:after="319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 xml:space="preserve">a) Koszty osobowe personelu </w:t>
      </w:r>
      <w:r w:rsidRPr="3459D655" w:rsidR="5E33B81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>merytoryczneg</w:t>
      </w:r>
      <w:r w:rsidRPr="3459D655" w:rsidR="7514AC8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>o</w:t>
      </w:r>
      <w:r w:rsidRPr="3459D655" w:rsidR="7514AC8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>, w</w:t>
      </w:r>
      <w:r w:rsidRPr="3459D655" w:rsidR="5E33B81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 xml:space="preserve"> </w:t>
      </w:r>
      <w:r w:rsidRPr="3459D655" w:rsidR="5E33B81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>szczególności:</w:t>
      </w:r>
    </w:p>
    <w:p w:rsidR="5E33B81B" w:rsidP="3459D655" w:rsidRDefault="5E33B81B" w14:paraId="550B3DAF" w14:textId="7B8D9DF1">
      <w:pPr>
        <w:pStyle w:val="ListParagraph"/>
        <w:numPr>
          <w:ilvl w:val="0"/>
          <w:numId w:val="17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trenerzy;</w:t>
      </w:r>
    </w:p>
    <w:p w:rsidR="5E33B81B" w:rsidP="3459D655" w:rsidRDefault="5E33B81B" w14:paraId="19CB280B" w14:textId="16D1701F">
      <w:pPr>
        <w:pStyle w:val="ListParagraph"/>
        <w:numPr>
          <w:ilvl w:val="0"/>
          <w:numId w:val="17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terapeuci;</w:t>
      </w:r>
    </w:p>
    <w:p w:rsidR="5E33B81B" w:rsidP="3459D655" w:rsidRDefault="5E33B81B" w14:paraId="3365D39A" w14:textId="762074FC">
      <w:pPr>
        <w:pStyle w:val="ListParagraph"/>
        <w:numPr>
          <w:ilvl w:val="0"/>
          <w:numId w:val="17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specjaliści prowadzący zajęcia, warsztaty lub wsparcie.</w:t>
      </w:r>
    </w:p>
    <w:p w:rsidR="5E33B81B" w:rsidP="3459D655" w:rsidRDefault="5E33B81B" w14:paraId="3DBDFEFF" w14:textId="22608198">
      <w:pPr>
        <w:pStyle w:val="Heading4"/>
        <w:spacing w:before="319" w:beforeAutospacing="off" w:after="319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>b) Koszty związane z udziałem uczestni</w:t>
      </w:r>
      <w:r w:rsidRPr="3459D655" w:rsidR="5E33B81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>ków</w:t>
      </w:r>
      <w:r w:rsidRPr="3459D655" w:rsidR="01786CFA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>, w</w:t>
      </w:r>
      <w:r w:rsidRPr="3459D655" w:rsidR="5E33B81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 xml:space="preserve"> szczególności:</w:t>
      </w:r>
    </w:p>
    <w:p w:rsidR="5E33B81B" w:rsidP="3459D655" w:rsidRDefault="5E33B81B" w14:paraId="33D6C33E" w14:textId="536956B7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materiały szkoleniowe i pomoce dydaktyczne;</w:t>
      </w:r>
    </w:p>
    <w:p w:rsidR="5E33B81B" w:rsidP="3459D655" w:rsidRDefault="5E33B81B" w14:paraId="464BDB4B" w14:textId="26C8870D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wynajem niezbędnego sprzętu;</w:t>
      </w:r>
    </w:p>
    <w:p w:rsidR="5E33B81B" w:rsidP="3459D655" w:rsidRDefault="5E33B81B" w14:paraId="473DD2CF" w14:textId="088C4C1C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wynajem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sal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, pomieszczeń i obiektów;</w:t>
      </w:r>
    </w:p>
    <w:p w:rsidR="5E33B81B" w:rsidP="3459D655" w:rsidRDefault="5E33B81B" w14:paraId="6059C70D" w14:textId="57A5977F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powierzenie usług merytorycznych wykonawcom zewnętrznym;</w:t>
      </w:r>
    </w:p>
    <w:p w:rsidR="5E33B81B" w:rsidP="3459D655" w:rsidRDefault="5E33B81B" w14:paraId="4A09A6FB" w14:textId="36738AED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odzież ochronna;</w:t>
      </w:r>
    </w:p>
    <w:p w:rsidR="5E33B81B" w:rsidP="3459D655" w:rsidRDefault="5E33B81B" w14:paraId="1A140533" w14:textId="7E3A2312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stroje sportowe;</w:t>
      </w:r>
    </w:p>
    <w:p w:rsidR="5E33B81B" w:rsidP="3459D655" w:rsidRDefault="5E33B81B" w14:paraId="540E90AC" w14:textId="4EA4BE1A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elementy identyfikacyjne uczestników;</w:t>
      </w:r>
    </w:p>
    <w:p w:rsidR="5E33B81B" w:rsidP="3459D655" w:rsidRDefault="5E33B81B" w14:paraId="7DED71D7" w14:textId="2AA7513A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wyżywienie (poczęstunek, artykuły spożywcze na zajęcia kulinarne);</w:t>
      </w:r>
    </w:p>
    <w:p w:rsidR="5E33B81B" w:rsidP="3459D655" w:rsidRDefault="5E33B81B" w14:paraId="79BED029" w14:textId="58F9831B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79971A2C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zakwaterowanie;</w:t>
      </w:r>
    </w:p>
    <w:p w:rsidR="5E33B81B" w:rsidP="3459D655" w:rsidRDefault="5E33B81B" w14:paraId="5B289C57" w14:textId="0F8BCF48">
      <w:pPr>
        <w:pStyle w:val="ListParagraph"/>
        <w:numPr>
          <w:ilvl w:val="0"/>
          <w:numId w:val="1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79971A2C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koszty przejazdów uczestników.</w:t>
      </w:r>
    </w:p>
    <w:p w:rsidR="5E33B81B" w:rsidP="3459D655" w:rsidRDefault="5E33B81B" w14:paraId="326F3D4C" w14:textId="7A461759">
      <w:pPr>
        <w:pStyle w:val="Heading4"/>
        <w:spacing w:before="319" w:beforeAutospacing="off" w:after="319" w:afterAutospacing="off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auto"/>
          <w:sz w:val="24"/>
          <w:szCs w:val="24"/>
          <w:lang w:val="pl-PL"/>
        </w:rPr>
        <w:t>c) Inne koszty merytoryczne</w:t>
      </w:r>
    </w:p>
    <w:p w:rsidR="5E33B81B" w:rsidP="3459D655" w:rsidRDefault="5E33B81B" w14:paraId="3E8FB7E4" w14:textId="56110C3A">
      <w:pPr>
        <w:pStyle w:val="ListParagraph"/>
        <w:numPr>
          <w:ilvl w:val="0"/>
          <w:numId w:val="19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promocja projektu (z wyłączeniem wynagrodzeń – te ujmuje się w kosztach administracyjnych).</w:t>
      </w:r>
    </w:p>
    <w:p w:rsidR="5E33B81B" w:rsidP="3459D655" w:rsidRDefault="5E33B81B" w14:paraId="7B6E9189" w14:textId="4FFDA8C1">
      <w:pPr>
        <w:pStyle w:val="Heading3"/>
        <w:spacing w:before="281" w:beforeAutospacing="off" w:after="281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4.2. Koszty administracyjne</w:t>
      </w:r>
    </w:p>
    <w:p w:rsidR="5E33B81B" w:rsidP="3459D655" w:rsidRDefault="5E33B81B" w14:paraId="5A444810" w14:textId="7D9E73FD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Koszty niezbędne do prawidłowego zarządzania projektem, w tym:</w:t>
      </w:r>
    </w:p>
    <w:p w:rsidR="5E33B81B" w:rsidP="3459D655" w:rsidRDefault="5E33B81B" w14:paraId="51611855" w14:textId="70F471A7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wynagrodzenie kierownika projektu;</w:t>
      </w:r>
    </w:p>
    <w:p w:rsidR="5E33B81B" w:rsidP="3459D655" w:rsidRDefault="5E33B81B" w14:paraId="06E5C56B" w14:textId="56711133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wynagrodzenie księgowego;</w:t>
      </w:r>
    </w:p>
    <w:p w:rsidR="5E33B81B" w:rsidP="3459D655" w:rsidRDefault="5E33B81B" w14:paraId="389B8E31" w14:textId="6BE13B6C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wynagrodzenie osoby odpowiedzialnej za promocję;</w:t>
      </w:r>
    </w:p>
    <w:p w:rsidR="5E33B81B" w:rsidP="3459D655" w:rsidRDefault="5E33B81B" w14:paraId="1E2290DE" w14:textId="11E9F875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telefon i Internet;</w:t>
      </w:r>
    </w:p>
    <w:p w:rsidR="5E33B81B" w:rsidP="3459D655" w:rsidRDefault="5E33B81B" w14:paraId="5F6B250D" w14:textId="425EA71B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opłaty pocztowe;</w:t>
      </w:r>
    </w:p>
    <w:p w:rsidR="5E33B81B" w:rsidP="3459D655" w:rsidRDefault="5E33B81B" w14:paraId="6CA5DDE4" w14:textId="79F7C471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materiały biurowe;</w:t>
      </w:r>
    </w:p>
    <w:p w:rsidR="5E33B81B" w:rsidP="3459D655" w:rsidRDefault="5E33B81B" w14:paraId="15EBD2AD" w14:textId="5E554DE1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obsługa księgowa lub informatyczna projektu przez podmiot zewnętrzny.</w:t>
      </w:r>
    </w:p>
    <w:p w:rsidR="5E33B81B" w:rsidP="3459D655" w:rsidRDefault="5E33B81B" w14:paraId="61CB0104" w14:textId="4F2E5770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Limit: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koszty administracyjne nie mogą przekroczyć 10% całkowitej wartości projektu.</w:t>
      </w:r>
    </w:p>
    <w:p w:rsidR="5E33B81B" w:rsidP="3459D655" w:rsidRDefault="5E33B81B" w14:paraId="6A535304" w14:textId="33911A98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5. Zadania i działania wykluczone z finansowania</w:t>
      </w:r>
    </w:p>
    <w:p w:rsidR="5E33B81B" w:rsidP="3459D655" w:rsidRDefault="5E33B81B" w14:paraId="219501CA" w14:textId="69974C8C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Nie dopuszcza się finansowania m.in.:</w:t>
      </w:r>
    </w:p>
    <w:p w:rsidR="5E33B81B" w:rsidP="3459D655" w:rsidRDefault="5E33B81B" w14:paraId="0FD65426" w14:textId="5C3A1748">
      <w:pPr>
        <w:pStyle w:val="ListParagraph"/>
        <w:numPr>
          <w:ilvl w:val="0"/>
          <w:numId w:val="21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rehabilitacji w placówkach;</w:t>
      </w:r>
    </w:p>
    <w:p w:rsidR="5E33B81B" w:rsidP="3459D655" w:rsidRDefault="5E33B81B" w14:paraId="341BE707" w14:textId="10E603AD">
      <w:pPr>
        <w:pStyle w:val="ListParagraph"/>
        <w:numPr>
          <w:ilvl w:val="0"/>
          <w:numId w:val="21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działań z zakresu aktywizacji zawodowej i pośrednictwa pracy;</w:t>
      </w:r>
    </w:p>
    <w:p w:rsidR="5E33B81B" w:rsidP="3459D655" w:rsidRDefault="5E33B81B" w14:paraId="1F33FFD8" w14:textId="6AF79485">
      <w:pPr>
        <w:pStyle w:val="ListParagraph"/>
        <w:numPr>
          <w:ilvl w:val="0"/>
          <w:numId w:val="21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zakupu, szkolenia i utrzymania psów asystujących;</w:t>
      </w:r>
    </w:p>
    <w:p w:rsidR="5E33B81B" w:rsidP="3459D655" w:rsidRDefault="5E33B81B" w14:paraId="4BCB1455" w14:textId="68BB4EBC">
      <w:pPr>
        <w:pStyle w:val="ListParagraph"/>
        <w:numPr>
          <w:ilvl w:val="0"/>
          <w:numId w:val="21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szkoleń dla tłumaczy PJM;</w:t>
      </w:r>
    </w:p>
    <w:p w:rsidR="5E33B81B" w:rsidP="3459D655" w:rsidRDefault="5E33B81B" w14:paraId="7AD94E87" w14:textId="29C07972">
      <w:pPr>
        <w:pStyle w:val="ListParagraph"/>
        <w:numPr>
          <w:ilvl w:val="0"/>
          <w:numId w:val="21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kampanii informacyjnych i wydawnictw dotyczących niepełnosprawności.</w:t>
      </w:r>
    </w:p>
    <w:p w:rsidR="5E33B81B" w:rsidP="3459D655" w:rsidRDefault="5E33B81B" w14:paraId="4FA25320" w14:textId="74E2985A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6. Koszty niekwalifikowalne</w:t>
      </w:r>
    </w:p>
    <w:p w:rsidR="5E33B81B" w:rsidP="3459D655" w:rsidRDefault="5E33B81B" w14:paraId="233F8CF0" w14:textId="3B7C793E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Za niekwalifikowalne uznaje się m.in.:</w:t>
      </w:r>
    </w:p>
    <w:p w:rsidR="5E33B81B" w:rsidP="3459D655" w:rsidRDefault="5E33B81B" w14:paraId="7FED0C18" w14:textId="7F4378A5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zakup nieruchomości;</w:t>
      </w:r>
    </w:p>
    <w:p w:rsidR="5E33B81B" w:rsidP="3459D655" w:rsidRDefault="5E33B81B" w14:paraId="57647525" w14:textId="15CCD97B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rezerwy i odpisy amortyzacyjne;</w:t>
      </w:r>
    </w:p>
    <w:p w:rsidR="5E33B81B" w:rsidP="3459D655" w:rsidRDefault="5E33B81B" w14:paraId="3B2F0A87" w14:textId="0F286F4E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koszty przygotowania oferty;</w:t>
      </w:r>
    </w:p>
    <w:p w:rsidR="5E33B81B" w:rsidP="3459D655" w:rsidRDefault="5E33B81B" w14:paraId="04F3307B" w14:textId="52103741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kary, mandaty, grzywny i koszty sądowe;</w:t>
      </w:r>
    </w:p>
    <w:p w:rsidR="5E33B81B" w:rsidP="3459D655" w:rsidRDefault="5E33B81B" w14:paraId="597A1C8A" w14:textId="62DC0056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koszty poniesione poza okresem realizacji projektu;</w:t>
      </w:r>
    </w:p>
    <w:p w:rsidR="5E33B81B" w:rsidP="3459D655" w:rsidRDefault="5E33B81B" w14:paraId="20A516FB" w14:textId="0CDD141D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premie, nagrody jubileuszowe i benefity pozapłacowe;</w:t>
      </w:r>
    </w:p>
    <w:p w:rsidR="5E33B81B" w:rsidP="3459D655" w:rsidRDefault="5E33B81B" w14:paraId="5D0DA47C" w14:textId="3DF48EF0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alkohol, wyroby tytoniowe, leki;</w:t>
      </w:r>
    </w:p>
    <w:p w:rsidR="5E33B81B" w:rsidP="3459D655" w:rsidRDefault="5E33B81B" w14:paraId="21A50D95" w14:textId="0DA8DE97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nagrody finansowe dla uczestników.</w:t>
      </w:r>
    </w:p>
    <w:p w:rsidR="5E33B81B" w:rsidP="3459D655" w:rsidRDefault="5E33B81B" w14:paraId="0333336A" w14:textId="0F188AC6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7. Podatek VAT</w:t>
      </w:r>
    </w:p>
    <w:p w:rsidR="5E33B81B" w:rsidP="3459D655" w:rsidRDefault="5E33B81B" w14:paraId="5E311F3C" w14:textId="34F5AD83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Grantobiorca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zobowiązany jest do jednoznacznego określenia statusu podatkowego w zakresie podatku VAT.</w:t>
      </w:r>
    </w:p>
    <w:p w:rsidR="5E33B81B" w:rsidP="3459D655" w:rsidRDefault="5E33B81B" w14:paraId="0B4A6D4C" w14:textId="7E1ED73F">
      <w:pPr>
        <w:pStyle w:val="ListParagraph"/>
        <w:numPr>
          <w:ilvl w:val="0"/>
          <w:numId w:val="23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jeżeli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Grantobiorca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nie ma prawa do odliczenia podatku VAT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– koszty wykazuje się w kwotach brutto;</w:t>
      </w:r>
    </w:p>
    <w:p w:rsidR="5E33B81B" w:rsidP="3459D655" w:rsidRDefault="5E33B81B" w14:paraId="60620346" w14:textId="231A4ABF">
      <w:pPr>
        <w:pStyle w:val="ListParagraph"/>
        <w:numPr>
          <w:ilvl w:val="0"/>
          <w:numId w:val="23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jeżeli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Grantobiorca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ma prawo do odliczenia podatku VAT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– koszty wykazuje się w kwotach netto;</w:t>
      </w:r>
    </w:p>
    <w:p w:rsidR="5E33B81B" w:rsidP="3459D655" w:rsidRDefault="5E33B81B" w14:paraId="2FBA0B31" w14:textId="1473D955">
      <w:pPr>
        <w:pStyle w:val="ListParagraph"/>
        <w:numPr>
          <w:ilvl w:val="0"/>
          <w:numId w:val="23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jeżeli prawo do odliczenia VAT przysługuje częściowo – kosztem kwalifikowalnym jest wyłącznie ta część VAT, która nie podlega odliczeniu.</w:t>
      </w:r>
    </w:p>
    <w:p w:rsidR="5E33B81B" w:rsidP="3459D655" w:rsidRDefault="5E33B81B" w14:paraId="248E8A5D" w14:textId="43555518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Brak możliwości odliczenia podatku VAT musi wynikać z obowiązujących przepisów prawa oraz aktualnego statusu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Grantobiorcy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.</w:t>
      </w:r>
    </w:p>
    <w:p w:rsidR="5E33B81B" w:rsidP="3459D655" w:rsidRDefault="5E33B81B" w14:paraId="43C6C98C" w14:textId="16C8D939">
      <w:pPr>
        <w:pStyle w:val="ListParagraph"/>
        <w:numPr>
          <w:ilvl w:val="0"/>
          <w:numId w:val="24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Jeżeli Organizacja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nie ma prawa do odliczenia VAT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– koszty ujmuje się w kwotach brutto.</w:t>
      </w:r>
    </w:p>
    <w:p w:rsidR="5E33B81B" w:rsidP="3459D655" w:rsidRDefault="5E33B81B" w14:paraId="75BF6759" w14:textId="22461860">
      <w:pPr>
        <w:pStyle w:val="ListParagraph"/>
        <w:numPr>
          <w:ilvl w:val="0"/>
          <w:numId w:val="24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Jeżeli Organizacja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ma prawo do odliczenia VAT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– koszty ujmuje się w kwotach netto.</w:t>
      </w:r>
    </w:p>
    <w:p w:rsidR="5E33B81B" w:rsidP="3459D655" w:rsidRDefault="5E33B81B" w14:paraId="3D157FD3" w14:textId="7204FA43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8. Zasada memoriałowa</w:t>
      </w:r>
    </w:p>
    <w:p w:rsidR="5E33B81B" w:rsidP="3459D655" w:rsidRDefault="5E33B81B" w14:paraId="508B1CD0" w14:textId="661DA0C2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Koszty rozliczane są zgodnie z zasadą memoriałową, tj. według momentu ich poniesienia, niezależnie od terminu zapłaty.</w:t>
      </w:r>
    </w:p>
    <w:p w:rsidR="5E33B81B" w:rsidP="3459D655" w:rsidRDefault="5E33B81B" w14:paraId="140F9366" w14:textId="673F2A92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9. Wynagrodzenia pracowników z niepełnosprawnością</w:t>
      </w:r>
    </w:p>
    <w:p w:rsidR="5E33B81B" w:rsidP="3459D655" w:rsidRDefault="5E33B81B" w14:paraId="7A46DF60" w14:textId="64986FBD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Wynagrodzenia podlegają pomniejszeniu o dofinansowanie uzyskane na podstawie art. 26a ustawy o rehabilitacji, zgodnie z określonym wzorem rozliczeniowym.</w:t>
      </w:r>
    </w:p>
    <w:p w:rsidR="5E33B81B" w:rsidP="3459D655" w:rsidRDefault="5E33B81B" w14:paraId="1E18F77B" w14:textId="6233826A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10. Powierzenie usług wykonawcom zewnętrznym</w:t>
      </w:r>
    </w:p>
    <w:p w:rsidR="5E33B81B" w:rsidP="3459D655" w:rsidRDefault="5E33B81B" w14:paraId="0E84EA98" w14:textId="680FF956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Grantobiorca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może powierzyć wykonanie usług wykonawcy zewnętrznemu wyłącznie w sytuacji, gdy nie posiada odpowiednich zasobów do samodzielnej realizacji zadania.</w:t>
      </w:r>
    </w:p>
    <w:p w:rsidR="5E33B81B" w:rsidP="3459D655" w:rsidRDefault="5E33B81B" w14:paraId="179F8D83" w14:textId="1B2E7DE6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Zasady:</w:t>
      </w:r>
    </w:p>
    <w:p w:rsidR="5E33B81B" w:rsidP="3459D655" w:rsidRDefault="5E33B81B" w14:paraId="1616CA6E" w14:textId="642BC613">
      <w:pPr>
        <w:pStyle w:val="ListParagraph"/>
        <w:numPr>
          <w:ilvl w:val="0"/>
          <w:numId w:val="25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powierzenie następuje na podstawie pisemnej umowy;</w:t>
      </w:r>
    </w:p>
    <w:p w:rsidR="5E33B81B" w:rsidP="3459D655" w:rsidRDefault="5E33B81B" w14:paraId="228BFC5F" w14:textId="12ED1AD8">
      <w:pPr>
        <w:pStyle w:val="ListParagraph"/>
        <w:numPr>
          <w:ilvl w:val="0"/>
          <w:numId w:val="25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dopuszczalny jest wyłącznie jeden poziom zlecania usług;</w:t>
      </w:r>
    </w:p>
    <w:p w:rsidR="5E33B81B" w:rsidP="3459D655" w:rsidRDefault="5E33B81B" w14:paraId="195BA0A1" w14:textId="7729E7A9">
      <w:pPr>
        <w:pStyle w:val="ListParagraph"/>
        <w:numPr>
          <w:ilvl w:val="0"/>
          <w:numId w:val="25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wykonawca realizuje usługę przy wykorzystaniu własnych zasobów kadrowych;</w:t>
      </w:r>
    </w:p>
    <w:p w:rsidR="5E33B81B" w:rsidP="3459D655" w:rsidRDefault="5E33B81B" w14:paraId="70AA22DB" w14:textId="695879E1">
      <w:pPr>
        <w:pStyle w:val="ListParagraph"/>
        <w:numPr>
          <w:ilvl w:val="0"/>
          <w:numId w:val="25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wykonawcą nie może być podmiot wchodzący w strukturę organizacyjną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Grantobiorcy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ani Operatora;</w:t>
      </w:r>
    </w:p>
    <w:p w:rsidR="5E33B81B" w:rsidP="3459D655" w:rsidRDefault="5E33B81B" w14:paraId="0BB540EA" w14:textId="55BE8424">
      <w:pPr>
        <w:pStyle w:val="ListParagraph"/>
        <w:numPr>
          <w:ilvl w:val="0"/>
          <w:numId w:val="25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zabronione są powiązania osobowe i kapitałowe.</w:t>
      </w:r>
    </w:p>
    <w:p w:rsidR="5E33B81B" w:rsidP="3459D655" w:rsidRDefault="5E33B81B" w14:paraId="0CD3CC58" w14:textId="53B8B8BD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Usługą merytoryczną nie jest zakup pojedynczych towarów lub usług (np. catering, noclegi, transport, druk), o ile nie stanowią one integralnej części kompleksowej usługi merytorycznej.</w:t>
      </w:r>
    </w:p>
    <w:p w:rsidR="5E33B81B" w:rsidP="3459D655" w:rsidRDefault="5E33B81B" w14:paraId="2183FBD7" w14:textId="538BC802">
      <w:pPr>
        <w:pStyle w:val="ListParagraph"/>
        <w:numPr>
          <w:ilvl w:val="0"/>
          <w:numId w:val="26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dopuszczalne wyłącznie na podstawie umowy pisemnej;</w:t>
      </w:r>
    </w:p>
    <w:p w:rsidR="5E33B81B" w:rsidP="3459D655" w:rsidRDefault="5E33B81B" w14:paraId="09B075E3" w14:textId="3A3B823C">
      <w:pPr>
        <w:pStyle w:val="ListParagraph"/>
        <w:numPr>
          <w:ilvl w:val="0"/>
          <w:numId w:val="26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obowiązuje zasada konkurencyjności;</w:t>
      </w:r>
    </w:p>
    <w:p w:rsidR="5E33B81B" w:rsidP="3459D655" w:rsidRDefault="5E33B81B" w14:paraId="4D8618BE" w14:textId="45196886">
      <w:pPr>
        <w:pStyle w:val="ListParagraph"/>
        <w:numPr>
          <w:ilvl w:val="0"/>
          <w:numId w:val="26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zakaz powiązań osobowych i kapitałowych;</w:t>
      </w:r>
    </w:p>
    <w:p w:rsidR="5E33B81B" w:rsidP="3459D655" w:rsidRDefault="5E33B81B" w14:paraId="2F892178" w14:textId="7C976A72">
      <w:pPr>
        <w:pStyle w:val="ListParagraph"/>
        <w:numPr>
          <w:ilvl w:val="0"/>
          <w:numId w:val="26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wykonawcą nie może być podmiot w strukturze Organizacji ani partner projektu.</w:t>
      </w:r>
    </w:p>
    <w:p w:rsidR="5E33B81B" w:rsidP="3459D655" w:rsidRDefault="5E33B81B" w14:paraId="5CD7C98C" w14:textId="3FA36EDF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11. Rozeznanie rynku i zasada konkurencyjności</w:t>
      </w:r>
    </w:p>
    <w:p w:rsidR="5E33B81B" w:rsidP="3459D655" w:rsidRDefault="5E33B81B" w14:paraId="1BB23732" w14:textId="03FEE509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Grantobiorca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 zobowiązany jest do wydatkowania środków publicznych w sposób przejrzysty, racjonalny i efektywny.</w:t>
      </w:r>
    </w:p>
    <w:p w:rsidR="5E33B81B" w:rsidP="3459D655" w:rsidRDefault="5E33B81B" w14:paraId="0B2270C7" w14:textId="604A5D9E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79971A2C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Progi stosowania:</w:t>
      </w:r>
    </w:p>
    <w:p w:rsidR="60FAA9B6" w:rsidP="79971A2C" w:rsidRDefault="60FAA9B6" w14:paraId="08E0CA13" w14:textId="2F205780">
      <w:pPr>
        <w:pStyle w:val="ListParagraph"/>
        <w:numPr>
          <w:ilvl w:val="0"/>
          <w:numId w:val="27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lang w:val="pl-PL"/>
        </w:rPr>
      </w:pPr>
      <w:r w:rsidRPr="79971A2C" w:rsidR="60FAA9B6">
        <w:rPr>
          <w:rFonts w:ascii="Calibri" w:hAnsi="Calibri" w:eastAsia="Calibri" w:cs="Calibri"/>
          <w:b w:val="0"/>
          <w:bCs w:val="0"/>
          <w:noProof w:val="0"/>
          <w:lang w:val="pl-PL"/>
        </w:rPr>
        <w:t>Poniżej 20 000 zł netto:</w:t>
      </w:r>
      <w:r w:rsidRPr="79971A2C" w:rsidR="60FAA9B6">
        <w:rPr>
          <w:rFonts w:ascii="Calibri" w:hAnsi="Calibri" w:eastAsia="Calibri" w:cs="Calibri"/>
          <w:b w:val="0"/>
          <w:bCs w:val="0"/>
          <w:noProof w:val="0"/>
          <w:lang w:val="pl-PL"/>
        </w:rPr>
        <w:t xml:space="preserve"> Brak procedur (wydatkowanie celowe).</w:t>
      </w:r>
    </w:p>
    <w:p w:rsidR="60FAA9B6" w:rsidP="79971A2C" w:rsidRDefault="60FAA9B6" w14:paraId="7017ED4F" w14:textId="4E8508C3">
      <w:pPr>
        <w:pStyle w:val="ListParagraph"/>
        <w:numPr>
          <w:ilvl w:val="0"/>
          <w:numId w:val="27"/>
        </w:numPr>
        <w:tabs>
          <w:tab w:val="left" w:leader="none" w:pos="0"/>
          <w:tab w:val="left" w:leader="none" w:pos="720"/>
        </w:tabs>
        <w:spacing w:before="0" w:beforeAutospacing="off" w:after="0" w:afterAutospacing="off"/>
        <w:rPr>
          <w:rFonts w:ascii="Calibri" w:hAnsi="Calibri" w:eastAsia="Calibri" w:cs="Calibri"/>
          <w:b w:val="0"/>
          <w:bCs w:val="0"/>
          <w:noProof w:val="0"/>
          <w:lang w:val="pl-PL"/>
        </w:rPr>
      </w:pPr>
      <w:r w:rsidRPr="79971A2C" w:rsidR="60FAA9B6">
        <w:rPr>
          <w:rFonts w:ascii="Calibri" w:hAnsi="Calibri" w:eastAsia="Calibri" w:cs="Calibri"/>
          <w:b w:val="0"/>
          <w:bCs w:val="0"/>
          <w:noProof w:val="0"/>
          <w:lang w:val="pl-PL"/>
        </w:rPr>
        <w:t>20 000 – 80 000 zł netto:</w:t>
      </w:r>
      <w:r w:rsidRPr="79971A2C" w:rsidR="60FAA9B6">
        <w:rPr>
          <w:rFonts w:ascii="Calibri" w:hAnsi="Calibri" w:eastAsia="Calibri" w:cs="Calibri"/>
          <w:b w:val="0"/>
          <w:bCs w:val="0"/>
          <w:noProof w:val="0"/>
          <w:lang w:val="pl-PL"/>
        </w:rPr>
        <w:t xml:space="preserve"> Rozeznanie rynku.</w:t>
      </w:r>
    </w:p>
    <w:p w:rsidR="60FAA9B6" w:rsidP="79971A2C" w:rsidRDefault="60FAA9B6" w14:paraId="348811C1" w14:textId="715058EF">
      <w:pPr>
        <w:pStyle w:val="ListParagraph"/>
        <w:numPr>
          <w:ilvl w:val="0"/>
          <w:numId w:val="27"/>
        </w:numPr>
        <w:tabs>
          <w:tab w:val="left" w:leader="none" w:pos="0"/>
          <w:tab w:val="left" w:leader="none" w:pos="720"/>
        </w:tabs>
        <w:spacing w:before="0" w:beforeAutospacing="off" w:after="0" w:afterAutospacing="off"/>
        <w:rPr>
          <w:rFonts w:ascii="Calibri" w:hAnsi="Calibri" w:eastAsia="Calibri" w:cs="Calibri"/>
          <w:b w:val="0"/>
          <w:bCs w:val="0"/>
          <w:noProof w:val="0"/>
          <w:lang w:val="pl-PL"/>
        </w:rPr>
      </w:pPr>
      <w:r w:rsidRPr="79971A2C" w:rsidR="60FAA9B6">
        <w:rPr>
          <w:rFonts w:ascii="Calibri" w:hAnsi="Calibri" w:eastAsia="Calibri" w:cs="Calibri"/>
          <w:b w:val="0"/>
          <w:bCs w:val="0"/>
          <w:noProof w:val="0"/>
          <w:lang w:val="pl-PL"/>
        </w:rPr>
        <w:t>Powyżej 80 000 zł netto:</w:t>
      </w:r>
      <w:r w:rsidRPr="79971A2C" w:rsidR="60FAA9B6">
        <w:rPr>
          <w:rFonts w:ascii="Calibri" w:hAnsi="Calibri" w:eastAsia="Calibri" w:cs="Calibri"/>
          <w:b w:val="0"/>
          <w:bCs w:val="0"/>
          <w:noProof w:val="0"/>
          <w:lang w:val="pl-PL"/>
        </w:rPr>
        <w:t xml:space="preserve"> Zasada konkurencyjności.</w:t>
      </w:r>
    </w:p>
    <w:p w:rsidR="5E33B81B" w:rsidP="3459D655" w:rsidRDefault="5E33B81B" w14:paraId="41DEF243" w14:textId="10C68521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Rozeznanie rynku polega na:</w:t>
      </w:r>
    </w:p>
    <w:p w:rsidR="5E33B81B" w:rsidP="3459D655" w:rsidRDefault="5E33B81B" w14:paraId="7CC30D99" w14:textId="33301A3D">
      <w:pPr>
        <w:pStyle w:val="ListParagraph"/>
        <w:numPr>
          <w:ilvl w:val="0"/>
          <w:numId w:val="2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skierowaniu zapytania ofertowego do co najmniej trzech potencjalnych wykonawców (o ile istnieją);</w:t>
      </w:r>
    </w:p>
    <w:p w:rsidR="5E33B81B" w:rsidP="3459D655" w:rsidRDefault="5E33B81B" w14:paraId="177FF870" w14:textId="6819C2EB">
      <w:pPr>
        <w:pStyle w:val="ListParagraph"/>
        <w:numPr>
          <w:ilvl w:val="0"/>
          <w:numId w:val="28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 xml:space="preserve">lub upublicznieniu zapytania ofertowego na stronie internetowej 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Grantobiorcy</w:t>
      </w: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.</w:t>
      </w:r>
    </w:p>
    <w:p w:rsidR="5E33B81B" w:rsidP="3459D655" w:rsidRDefault="5E33B81B" w14:paraId="084B4A3C" w14:textId="46756FA6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Postępowanie musi zostać udokumentowane protokołem wyboru wykonawcy.</w:t>
      </w:r>
    </w:p>
    <w:p w:rsidR="5E33B81B" w:rsidP="3459D655" w:rsidRDefault="5E33B81B" w14:paraId="61FE5FCC" w14:textId="7F639177">
      <w:pPr>
        <w:pStyle w:val="ListParagraph"/>
        <w:numPr>
          <w:ilvl w:val="0"/>
          <w:numId w:val="29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do 40 000 zł netto – należyta staranność;</w:t>
      </w:r>
    </w:p>
    <w:p w:rsidR="5E33B81B" w:rsidP="3459D655" w:rsidRDefault="5E33B81B" w14:paraId="28008870" w14:textId="6C7ED96C">
      <w:pPr>
        <w:pStyle w:val="ListParagraph"/>
        <w:numPr>
          <w:ilvl w:val="0"/>
          <w:numId w:val="29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40 000–130 000 zł netto – rozeznanie rynku;</w:t>
      </w:r>
    </w:p>
    <w:p w:rsidR="5E33B81B" w:rsidP="3459D655" w:rsidRDefault="5E33B81B" w14:paraId="5B0EA010" w14:textId="16285A10">
      <w:pPr>
        <w:pStyle w:val="ListParagraph"/>
        <w:numPr>
          <w:ilvl w:val="0"/>
          <w:numId w:val="29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powyżej progów – stosowanie Prawa zamówień publicznych.</w:t>
      </w:r>
    </w:p>
    <w:p w:rsidR="5E33B81B" w:rsidP="3459D655" w:rsidRDefault="5E33B81B" w14:paraId="68DB38E4" w14:textId="45FFFC02">
      <w:pPr>
        <w:pStyle w:val="Heading2"/>
        <w:spacing w:before="299" w:beforeAutospacing="off" w:after="299" w:afterAutospacing="off"/>
        <w:jc w:val="center"/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8"/>
          <w:szCs w:val="28"/>
          <w:lang w:val="pl-PL"/>
        </w:rPr>
        <w:t>12. Sprawozdawczość i kontrola</w:t>
      </w:r>
    </w:p>
    <w:p w:rsidR="672C8BE1" w:rsidP="3459D655" w:rsidRDefault="672C8BE1" w14:paraId="60E90371" w14:textId="29CB15C6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Wydatki muszą być zgodne z budżetem, harmonogramem oraz Umową. Organizacja jest zobowiązana do terminowego składania sprawozdań i udostępniania dokumentów źródłowych na żądanie Operatora.</w:t>
      </w:r>
    </w:p>
    <w:p w:rsidR="672C8BE1" w:rsidP="3459D655" w:rsidRDefault="672C8BE1" w14:paraId="12082D55" w14:textId="7F23F9F7">
      <w:pPr>
        <w:pStyle w:val="Normal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</w:pPr>
      <w:r w:rsidRPr="3459D655" w:rsidR="5E33B81B">
        <w:rPr>
          <w:rFonts w:ascii="Calibri" w:hAnsi="Calibri" w:eastAsia="Calibri" w:cs="Calibri"/>
          <w:b w:val="0"/>
          <w:bCs w:val="0"/>
          <w:noProof w:val="0"/>
          <w:color w:val="auto"/>
          <w:sz w:val="24"/>
          <w:szCs w:val="24"/>
          <w:lang w:val="pl-PL"/>
        </w:rPr>
        <w:t>Podręcznik obowiązuje wszystkich członków zespołu projektowego i stanowi podstawę do wewnętrznej kontroli finansowej projektu.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58f3c64a522f4e94"/>
      <w:footerReference w:type="default" r:id="R3b7ec223d0904b0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9971A2C" w:rsidP="79971A2C" w:rsidRDefault="79971A2C" w14:paraId="154AC659" w14:textId="1DE92B2C">
    <w:pPr>
      <w:bidi w:val="0"/>
      <w:spacing w:before="240" w:beforeAutospacing="off" w:after="0" w:afterAutospacing="off"/>
      <w:jc w:val="center"/>
      <w:rPr>
        <w:rFonts w:ascii="Calibri" w:hAnsi="Calibri" w:eastAsia="Calibri" w:cs="Calibri"/>
        <w:noProof w:val="0"/>
        <w:sz w:val="18"/>
        <w:szCs w:val="18"/>
        <w:lang w:val="pl-PL"/>
      </w:rPr>
    </w:pPr>
    <w:r w:rsidRPr="79971A2C" w:rsidR="79971A2C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 xml:space="preserve">Projekt jest współfinansowany ze środków Państwowego Funduszu Rehabilitacji Osób Niepełnosprawnych w ramach programu Moc lokalnych </w:t>
    </w:r>
    <w:r w:rsidRPr="79971A2C" w:rsidR="79971A2C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>i</w:t>
    </w:r>
    <w:r w:rsidRPr="79971A2C" w:rsidR="79971A2C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>nicjatyw.</w:t>
    </w: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06980D2" w:rsidP="79971A2C" w:rsidRDefault="106980D2" w14:paraId="3D30C209" w14:textId="3806F38D">
    <w:pPr>
      <w:pStyle w:val="Header"/>
      <w:bidi w:val="0"/>
      <w:jc w:val="left"/>
    </w:pPr>
    <w:r w:rsidR="79971A2C">
      <w:drawing>
        <wp:inline wp14:editId="56E39710" wp14:anchorId="7E16CB45">
          <wp:extent cx="5724525" cy="838200"/>
          <wp:effectExtent l="0" t="0" r="0" b="0"/>
          <wp:docPr id="1505182319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505182319" name="Picture 1505182319"/>
                  <pic:cNvPicPr/>
                </pic:nvPicPr>
                <pic:blipFill>
                  <a:blip xmlns:r="http://schemas.openxmlformats.org/officeDocument/2006/relationships" r:embed="rId33323695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29">
    <w:nsid w:val="5cc19d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nsid w:val="5f7b41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7">
    <w:nsid w:val="1ee710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1a33aad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2c022d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6b7c21c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51046b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772eef7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670e7b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47635d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5e3b0ce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3e340f5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64addf5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1574a83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/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  <w:rPr/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732b9c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7e1775b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2fdd0d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1bdc0ed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6e630c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76306b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13433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48df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891c9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7f945c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39f5d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69eb1d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64ee46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40347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584ac9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9">
    <w:abstractNumId w:val="29"/>
  </w:num>
  <w:num w:numId="28">
    <w:abstractNumId w:val="28"/>
  </w:num>
  <w:num w:numId="27">
    <w:abstractNumId w:val="27"/>
  </w:num>
  <w:num w:numId="26">
    <w:abstractNumId w:val="26"/>
  </w:num>
  <w:num w:numId="25">
    <w:abstractNumId w:val="25"/>
  </w:num>
  <w:num w:numId="24">
    <w:abstractNumId w:val="24"/>
  </w:num>
  <w:num w:numId="23">
    <w:abstractNumId w:val="23"/>
  </w:num>
  <w:num w:numId="22">
    <w:abstractNumId w:val="22"/>
  </w:num>
  <w:num w:numId="21">
    <w:abstractNumId w:val="21"/>
  </w:num>
  <w:num w:numId="20">
    <w:abstractNumId w:val="20"/>
  </w: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BE2C4B"/>
    <w:rsid w:val="0161C18C"/>
    <w:rsid w:val="01786CFA"/>
    <w:rsid w:val="022B269A"/>
    <w:rsid w:val="04C0EE27"/>
    <w:rsid w:val="066D9ED9"/>
    <w:rsid w:val="078CB9D5"/>
    <w:rsid w:val="07FE0A00"/>
    <w:rsid w:val="08812F40"/>
    <w:rsid w:val="09DDFDF8"/>
    <w:rsid w:val="0B32A1CE"/>
    <w:rsid w:val="106980D2"/>
    <w:rsid w:val="11B77412"/>
    <w:rsid w:val="14CC65B5"/>
    <w:rsid w:val="1CBE2C4B"/>
    <w:rsid w:val="1D00ED61"/>
    <w:rsid w:val="1F7C8920"/>
    <w:rsid w:val="22222F1C"/>
    <w:rsid w:val="27EEE41B"/>
    <w:rsid w:val="2EAD96DD"/>
    <w:rsid w:val="30DC8292"/>
    <w:rsid w:val="33CA2239"/>
    <w:rsid w:val="3459D655"/>
    <w:rsid w:val="3569B0F2"/>
    <w:rsid w:val="39B5734C"/>
    <w:rsid w:val="3AF48FFB"/>
    <w:rsid w:val="3D45E1AC"/>
    <w:rsid w:val="43ACA750"/>
    <w:rsid w:val="47E5AE4C"/>
    <w:rsid w:val="48FD3024"/>
    <w:rsid w:val="4953D85A"/>
    <w:rsid w:val="4C176A0B"/>
    <w:rsid w:val="4D3106C6"/>
    <w:rsid w:val="4E3BE0BD"/>
    <w:rsid w:val="4E5C40FF"/>
    <w:rsid w:val="52B16E63"/>
    <w:rsid w:val="5A03F262"/>
    <w:rsid w:val="5C2D9BE0"/>
    <w:rsid w:val="5E33B81B"/>
    <w:rsid w:val="60FAA9B6"/>
    <w:rsid w:val="61125FFA"/>
    <w:rsid w:val="6352386D"/>
    <w:rsid w:val="66D81632"/>
    <w:rsid w:val="672C8BE1"/>
    <w:rsid w:val="70899E4E"/>
    <w:rsid w:val="70900853"/>
    <w:rsid w:val="728161BD"/>
    <w:rsid w:val="7514AC85"/>
    <w:rsid w:val="75A706E5"/>
    <w:rsid w:val="75AA3022"/>
    <w:rsid w:val="772B853A"/>
    <w:rsid w:val="784574BF"/>
    <w:rsid w:val="7949FAD0"/>
    <w:rsid w:val="79971A2C"/>
    <w:rsid w:val="79C708FC"/>
    <w:rsid w:val="7B439B11"/>
    <w:rsid w:val="7BC56AB5"/>
    <w:rsid w:val="7CA3A934"/>
    <w:rsid w:val="7F7FB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E2C4B"/>
  <w15:chartTrackingRefBased/>
  <w15:docId w15:val="{B85A10FE-D055-48F5-BA40-17FE628CD4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360" w:after="8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true">
    <w:uiPriority w:val="9"/>
    <w:name w:val="Heading 2 Char"/>
    <w:basedOn w:val="DefaultParagraphFont"/>
    <w:link w:val="Heading2"/>
    <w:rsid w:val="3459D655"/>
    <w:rPr>
      <w:rFonts w:ascii="Calibri" w:hAnsi="Calibri" w:eastAsia="Calibri" w:cs="Calibri"/>
      <w:b w:val="1"/>
      <w:bCs w:val="1"/>
      <w:noProof w:val="0"/>
      <w:color w:val="auto"/>
      <w:sz w:val="36"/>
      <w:szCs w:val="36"/>
      <w:lang w:val="pl-PL"/>
    </w:rPr>
  </w:style>
  <w:style w:type="paragraph" w:styleId="Heading2">
    <w:uiPriority w:val="9"/>
    <w:name w:val="heading 2"/>
    <w:basedOn w:val="Normal"/>
    <w:next w:val="Normal"/>
    <w:unhideWhenUsed/>
    <w:link w:val="Heading2Char"/>
    <w:qFormat/>
    <w:rsid w:val="3459D655"/>
    <w:rPr>
      <w:rFonts w:ascii="Calibri" w:hAnsi="Calibri" w:eastAsia="Calibri" w:cs="Calibri"/>
      <w:b w:val="1"/>
      <w:bCs w:val="1"/>
      <w:noProof w:val="0"/>
      <w:color w:val="auto"/>
      <w:sz w:val="36"/>
      <w:szCs w:val="36"/>
      <w:lang w:val="pl-PL"/>
    </w:rPr>
    <w:pPr>
      <w:keepNext w:val="1"/>
      <w:keepLines w:val="1"/>
      <w:spacing w:before="299" w:beforeAutospacing="off" w:after="299" w:afterAutospacing="off"/>
      <w:outlineLvl w:val="1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eastAsiaTheme="majorEastAsia" w:cstheme="majorBidi"/>
      <w:color w:val="0F4761" w:themeColor="accent1" w:themeShade="BF"/>
      <w:sz w:val="28"/>
      <w:szCs w:val="28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160" w:after="80"/>
      <w:outlineLvl xmlns:w="http://schemas.openxmlformats.org/wordprocessingml/2006/main" w:val="2"/>
    </w:pPr>
    <w:rPr xmlns:w="http://schemas.openxmlformats.org/wordprocessingml/2006/main">
      <w:rFonts w:eastAsiaTheme="majorEastAsia" w:cstheme="majorBidi"/>
      <w:color w:val="0F4761" w:themeColor="accent1" w:themeShade="BF"/>
      <w:sz w:val="28"/>
      <w:szCs w:val="28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4Char" w:customStyle="1" mc:Ignorable="w14">
    <w:name xmlns:w="http://schemas.openxmlformats.org/wordprocessingml/2006/main" w:val="Heading 4 Char"/>
    <w:basedOn xmlns:w="http://schemas.openxmlformats.org/wordprocessingml/2006/main" w:val="DefaultParagraphFont"/>
    <w:link xmlns:w="http://schemas.openxmlformats.org/wordprocessingml/2006/main" w:val="Heading4"/>
    <w:uiPriority xmlns:w="http://schemas.openxmlformats.org/wordprocessingml/2006/main" w:val="9"/>
    <w:rPr xmlns:w="http://schemas.openxmlformats.org/wordprocessingml/2006/main">
      <w:rFonts w:eastAsiaTheme="majorEastAsia" w:cstheme="majorBidi"/>
      <w:i/>
      <w:iCs/>
      <w:color w:val="0F4761" w:themeColor="accent1" w:themeShade="BF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4" mc:Ignorable="w14">
    <w:name xmlns:w="http://schemas.openxmlformats.org/wordprocessingml/2006/main" w:val="heading 4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4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80" w:after="40"/>
      <w:outlineLvl xmlns:w="http://schemas.openxmlformats.org/wordprocessingml/2006/main" w:val="3"/>
    </w:pPr>
    <w:rPr xmlns:w="http://schemas.openxmlformats.org/wordprocessingml/2006/main">
      <w:rFonts w:eastAsiaTheme="majorEastAsia" w:cstheme="majorBidi"/>
      <w:i/>
      <w:iCs/>
      <w:color w:val="0F4761" w:themeColor="accent1" w:themeShade="BF"/>
    </w:rPr>
  </w:style>
  <w:style w:type="paragraph" w:styleId="Header">
    <w:uiPriority w:val="99"/>
    <w:name w:val="header"/>
    <w:basedOn w:val="Normal"/>
    <w:unhideWhenUsed/>
    <w:rsid w:val="106980D2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106980D2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4289f847ccd940aa" /><Relationship Type="http://schemas.openxmlformats.org/officeDocument/2006/relationships/header" Target="header.xml" Id="R58f3c64a522f4e94" /><Relationship Type="http://schemas.openxmlformats.org/officeDocument/2006/relationships/footer" Target="footer.xml" Id="R3b7ec223d0904b0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Id3332369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FCE5FF97CF98448CBBA530034BD29E" ma:contentTypeVersion="10" ma:contentTypeDescription="Utwórz nowy dokument." ma:contentTypeScope="" ma:versionID="a2518530a882bb7588c670b14612bc61">
  <xsd:schema xmlns:xsd="http://www.w3.org/2001/XMLSchema" xmlns:xs="http://www.w3.org/2001/XMLSchema" xmlns:p="http://schemas.microsoft.com/office/2006/metadata/properties" xmlns:ns2="2f95c9f9-1c04-4e08-ac8a-64f3ffbfe078" xmlns:ns3="9c897153-ab4c-48db-a159-da038a9e43e0" targetNamespace="http://schemas.microsoft.com/office/2006/metadata/properties" ma:root="true" ma:fieldsID="0643fa5e0e20962bb47c744338e7f777" ns2:_="" ns3:_="">
    <xsd:import namespace="2f95c9f9-1c04-4e08-ac8a-64f3ffbfe078"/>
    <xsd:import namespace="9c897153-ab4c-48db-a159-da038a9e4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5c9f9-1c04-4e08-ac8a-64f3ffbfe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234f267-60c5-4663-a3ad-9cdf3fe1f5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97153-ab4c-48db-a159-da038a9e43e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535d71-bc10-45b2-9738-1f11c5dfa5db}" ma:internalName="TaxCatchAll" ma:showField="CatchAllData" ma:web="9c897153-ab4c-48db-a159-da038a9e43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95c9f9-1c04-4e08-ac8a-64f3ffbfe078">
      <Terms xmlns="http://schemas.microsoft.com/office/infopath/2007/PartnerControls"/>
    </lcf76f155ced4ddcb4097134ff3c332f>
    <TaxCatchAll xmlns="9c897153-ab4c-48db-a159-da038a9e43e0" xsi:nil="true"/>
  </documentManagement>
</p:properties>
</file>

<file path=customXml/itemProps1.xml><?xml version="1.0" encoding="utf-8"?>
<ds:datastoreItem xmlns:ds="http://schemas.openxmlformats.org/officeDocument/2006/customXml" ds:itemID="{4D1101D5-4697-4027-95CF-ACBDD8640D99}"/>
</file>

<file path=customXml/itemProps2.xml><?xml version="1.0" encoding="utf-8"?>
<ds:datastoreItem xmlns:ds="http://schemas.openxmlformats.org/officeDocument/2006/customXml" ds:itemID="{22890BF1-0FEE-4FFF-B7F0-C27C8804723F}"/>
</file>

<file path=customXml/itemProps3.xml><?xml version="1.0" encoding="utf-8"?>
<ds:datastoreItem xmlns:ds="http://schemas.openxmlformats.org/officeDocument/2006/customXml" ds:itemID="{ACE477B4-A8BC-40BC-9987-168E12F419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Śliwowska</dc:creator>
  <cp:keywords/>
  <dc:description/>
  <cp:lastModifiedBy>Julia Śliwowska</cp:lastModifiedBy>
  <dcterms:created xsi:type="dcterms:W3CDTF">2026-01-19T12:52:08Z</dcterms:created>
  <dcterms:modified xsi:type="dcterms:W3CDTF">2026-01-22T15:03:52Z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0x01010028FCE5FF97CF98448CBBA530034BD29E</vt:lpwstr>
  </property>
  <property fmtid="{D5CDD505-2E9C-101B-9397-08002B2CF9AE}" pid="3" name="MediaServiceImageTags">
    <vt:lpwstr/>
  </property>
</Properties>
</file>